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3BDAAD2F" w:rsidR="00EF7A94" w:rsidRPr="00171039" w:rsidRDefault="00EF7A94" w:rsidP="00CD6B2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BA2E16">
              <w:rPr>
                <w:rFonts w:ascii="Times New Roman" w:hAnsi="Times New Roman" w:cs="Times New Roman"/>
                <w:iCs/>
              </w:rPr>
              <w:t>29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D6B24">
              <w:rPr>
                <w:rFonts w:ascii="Times New Roman" w:hAnsi="Times New Roman" w:cs="Times New Roman"/>
                <w:iCs/>
              </w:rPr>
              <w:t>lip</w:t>
            </w:r>
            <w:r w:rsidR="00E752FF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32122F9F" w:rsidR="00A97147" w:rsidRPr="00171039" w:rsidRDefault="00105BC9" w:rsidP="003A534C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</w:t>
            </w:r>
            <w:r w:rsidR="00CD6B24" w:rsidRPr="00CD6B24">
              <w:rPr>
                <w:rFonts w:ascii="Times New Roman" w:hAnsi="Times New Roman" w:cs="Times New Roman"/>
              </w:rPr>
              <w:t>naručitelj</w:t>
            </w:r>
            <w:r w:rsidR="00CD079B">
              <w:rPr>
                <w:rFonts w:ascii="Times New Roman" w:hAnsi="Times New Roman" w:cs="Times New Roman"/>
              </w:rPr>
              <w:t>a</w:t>
            </w:r>
            <w:r w:rsidR="00CD6B24" w:rsidRPr="00CD6B24">
              <w:rPr>
                <w:rFonts w:ascii="Times New Roman" w:hAnsi="Times New Roman" w:cs="Times New Roman"/>
              </w:rPr>
              <w:t xml:space="preserve"> Zagrebački holding d.o.o., U</w:t>
            </w:r>
            <w:r w:rsidR="00CD079B">
              <w:rPr>
                <w:rFonts w:ascii="Times New Roman" w:hAnsi="Times New Roman" w:cs="Times New Roman"/>
              </w:rPr>
              <w:t>lica grada Vukovara 41, Zagreb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3A534C" w:rsidRPr="003A5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Rezervni dijelovi za vozila marke MAN-autobusni program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Pr="00105BC9">
              <w:rPr>
                <w:rFonts w:ascii="Times New Roman" w:hAnsi="Times New Roman" w:cs="Times New Roman"/>
                <w:b/>
              </w:rPr>
              <w:t>2017-</w:t>
            </w:r>
            <w:r w:rsidR="003A534C">
              <w:rPr>
                <w:rFonts w:ascii="Times New Roman" w:hAnsi="Times New Roman" w:cs="Times New Roman"/>
                <w:b/>
              </w:rPr>
              <w:t>399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A864F3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64106DE1" w14:textId="4F32C4E2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U skladu s točkom 2 Dokumentacije predmetnog javnog nadmetanja molimo pojašnjenja i izmijene kako slijedi:</w:t>
            </w:r>
          </w:p>
          <w:p w14:paraId="65544F4A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6E72C211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438BED81" w14:textId="7B318275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1.</w:t>
            </w:r>
            <w:r w:rsidRPr="0013732E">
              <w:rPr>
                <w:rFonts w:ascii="Times New Roman" w:hAnsi="Times New Roman" w:cs="Times New Roman"/>
              </w:rPr>
              <w:tab/>
              <w:t>Točkom 29 Dokume</w:t>
            </w:r>
            <w:r w:rsidR="00BA2E16">
              <w:rPr>
                <w:rFonts w:ascii="Times New Roman" w:hAnsi="Times New Roman" w:cs="Times New Roman"/>
              </w:rPr>
              <w:t>n</w:t>
            </w:r>
            <w:r w:rsidRPr="0013732E">
              <w:rPr>
                <w:rFonts w:ascii="Times New Roman" w:hAnsi="Times New Roman" w:cs="Times New Roman"/>
              </w:rPr>
              <w:t>tacije nije definiran Rok za podnošenje ponuda, niti je definiran termin Javnog otvaranja ponuda. Na za to predviđena mjesta nije upisano ništa.</w:t>
            </w:r>
          </w:p>
          <w:p w14:paraId="6A2333EB" w14:textId="3566C973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Molimo izmjenu dokume</w:t>
            </w:r>
            <w:r w:rsidR="00BA2E16">
              <w:rPr>
                <w:rFonts w:ascii="Times New Roman" w:hAnsi="Times New Roman" w:cs="Times New Roman"/>
              </w:rPr>
              <w:t>n</w:t>
            </w:r>
            <w:r w:rsidRPr="0013732E">
              <w:rPr>
                <w:rFonts w:ascii="Times New Roman" w:hAnsi="Times New Roman" w:cs="Times New Roman"/>
              </w:rPr>
              <w:t>tacije sa navedenim Rokom za podnošenje ponuda i terminom Jav</w:t>
            </w:r>
            <w:r w:rsidR="00BA2E16">
              <w:rPr>
                <w:rFonts w:ascii="Times New Roman" w:hAnsi="Times New Roman" w:cs="Times New Roman"/>
              </w:rPr>
              <w:t>n</w:t>
            </w:r>
            <w:r w:rsidRPr="0013732E">
              <w:rPr>
                <w:rFonts w:ascii="Times New Roman" w:hAnsi="Times New Roman" w:cs="Times New Roman"/>
              </w:rPr>
              <w:t>og otvaranja ponuda.</w:t>
            </w:r>
          </w:p>
          <w:p w14:paraId="638BB834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02268A12" w14:textId="37960D4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2.</w:t>
            </w:r>
            <w:r w:rsidRPr="0013732E">
              <w:rPr>
                <w:rFonts w:ascii="Times New Roman" w:hAnsi="Times New Roman" w:cs="Times New Roman"/>
              </w:rPr>
              <w:tab/>
              <w:t>Točkom 33. Dokumentacije navedeni su kriteriji za ocjenu jednakovrijednosti te se navodi da Ponuditel</w:t>
            </w:r>
            <w:r w:rsidR="00BA2E16">
              <w:rPr>
                <w:rFonts w:ascii="Times New Roman" w:hAnsi="Times New Roman" w:cs="Times New Roman"/>
              </w:rPr>
              <w:t>j mora dostaviti tehničku dokum</w:t>
            </w:r>
            <w:r w:rsidRPr="0013732E">
              <w:rPr>
                <w:rFonts w:ascii="Times New Roman" w:hAnsi="Times New Roman" w:cs="Times New Roman"/>
              </w:rPr>
              <w:t>e</w:t>
            </w:r>
            <w:r w:rsidR="00BA2E16">
              <w:rPr>
                <w:rFonts w:ascii="Times New Roman" w:hAnsi="Times New Roman" w:cs="Times New Roman"/>
              </w:rPr>
              <w:t>n</w:t>
            </w:r>
            <w:r w:rsidRPr="0013732E">
              <w:rPr>
                <w:rFonts w:ascii="Times New Roman" w:hAnsi="Times New Roman" w:cs="Times New Roman"/>
              </w:rPr>
              <w:t>taciju kao i da je obvezan dostaviti ISO TS 16949 certifikat.</w:t>
            </w:r>
          </w:p>
          <w:p w14:paraId="1B8B8C97" w14:textId="12881EE2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Iz naved</w:t>
            </w:r>
            <w:r w:rsidR="00BA2E16">
              <w:rPr>
                <w:rFonts w:ascii="Times New Roman" w:hAnsi="Times New Roman" w:cs="Times New Roman"/>
              </w:rPr>
              <w:t>e</w:t>
            </w:r>
            <w:r w:rsidRPr="0013732E">
              <w:rPr>
                <w:rFonts w:ascii="Times New Roman" w:hAnsi="Times New Roman" w:cs="Times New Roman"/>
              </w:rPr>
              <w:t>nog nije jasno da li Ponuditelj ima obvezu kumulativnog dokazivanja jednakovrijednost – da li mora dostaviti i tehničku dokumentaciju i ISO TS 16949 certifikat, ili je dovoljan samo ISO TS 16949 certifikat.</w:t>
            </w:r>
          </w:p>
          <w:p w14:paraId="539D2B3D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4F909E59" w14:textId="0B157F86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Naime, tehnička dokumentacija nekog jednakovrijednog proizvoda predstavlja poslovnu tajnu proizvođača jednakovrijednog rezervnog dijela i nije javno dostupna. Također, u troškovniku nisu navedeni kriteriji mjerodavni za ocjenu jednakovrijednosti kako se navodi u drugom odlomku točke 33, citat:</w:t>
            </w:r>
          </w:p>
          <w:p w14:paraId="7A179857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763C43E7" w14:textId="52C9ECBA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 xml:space="preserve">„Ovisno o </w:t>
            </w:r>
            <w:proofErr w:type="spellStart"/>
            <w:r w:rsidRPr="0013732E">
              <w:rPr>
                <w:rFonts w:ascii="Times New Roman" w:hAnsi="Times New Roman" w:cs="Times New Roman"/>
              </w:rPr>
              <w:t>proizvodu............</w:t>
            </w:r>
            <w:proofErr w:type="spellEnd"/>
            <w:r w:rsidRPr="0013732E">
              <w:rPr>
                <w:rFonts w:ascii="Times New Roman" w:hAnsi="Times New Roman" w:cs="Times New Roman"/>
              </w:rPr>
              <w:t xml:space="preserve">., prema kriterijima mjerodavnim za ocjenu jednakovrijednosti navedenim u troškovniku.“ </w:t>
            </w:r>
          </w:p>
          <w:p w14:paraId="0105F054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5BE18049" w14:textId="1338B39E" w:rsidR="0013732E" w:rsidRPr="0013732E" w:rsidRDefault="00BA2E16" w:rsidP="0013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li iz toga pro</w:t>
            </w:r>
            <w:r w:rsidR="0013732E" w:rsidRPr="0013732E">
              <w:rPr>
                <w:rFonts w:ascii="Times New Roman" w:hAnsi="Times New Roman" w:cs="Times New Roman"/>
              </w:rPr>
              <w:t>izlazi, budući da u troškovniku nisu navedeni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32E" w:rsidRPr="0013732E">
              <w:rPr>
                <w:rFonts w:ascii="Times New Roman" w:hAnsi="Times New Roman" w:cs="Times New Roman"/>
              </w:rPr>
              <w:t>kriterij</w:t>
            </w:r>
            <w:r>
              <w:rPr>
                <w:rFonts w:ascii="Times New Roman" w:hAnsi="Times New Roman" w:cs="Times New Roman"/>
              </w:rPr>
              <w:t>i mjerodavni za oc</w:t>
            </w:r>
            <w:r w:rsidR="0013732E" w:rsidRPr="0013732E">
              <w:rPr>
                <w:rFonts w:ascii="Times New Roman" w:hAnsi="Times New Roman" w:cs="Times New Roman"/>
              </w:rPr>
              <w:t xml:space="preserve">jenu jednakovrijednosti za neki proizvod, da </w:t>
            </w:r>
            <w:r w:rsidR="0013732E" w:rsidRPr="0013732E">
              <w:rPr>
                <w:rFonts w:ascii="Times New Roman" w:hAnsi="Times New Roman" w:cs="Times New Roman"/>
              </w:rPr>
              <w:lastRenderedPageBreak/>
              <w:t>tehničku dokum</w:t>
            </w:r>
            <w:r>
              <w:rPr>
                <w:rFonts w:ascii="Times New Roman" w:hAnsi="Times New Roman" w:cs="Times New Roman"/>
              </w:rPr>
              <w:t>en</w:t>
            </w:r>
            <w:r w:rsidR="0013732E" w:rsidRPr="0013732E">
              <w:rPr>
                <w:rFonts w:ascii="Times New Roman" w:hAnsi="Times New Roman" w:cs="Times New Roman"/>
              </w:rPr>
              <w:t>taciju nije potrebno dostaviti?</w:t>
            </w:r>
          </w:p>
          <w:p w14:paraId="75034C15" w14:textId="77777777" w:rsidR="0013732E" w:rsidRPr="0013732E" w:rsidRDefault="0013732E" w:rsidP="0013732E">
            <w:pPr>
              <w:jc w:val="both"/>
              <w:rPr>
                <w:rFonts w:ascii="Times New Roman" w:hAnsi="Times New Roman" w:cs="Times New Roman"/>
              </w:rPr>
            </w:pPr>
          </w:p>
          <w:p w14:paraId="3660F70C" w14:textId="6526BC01" w:rsidR="00B875C8" w:rsidRPr="00171039" w:rsidRDefault="0013732E" w:rsidP="00BA2E16">
            <w:pPr>
              <w:jc w:val="both"/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3.</w:t>
            </w:r>
            <w:r w:rsidRPr="0013732E">
              <w:rPr>
                <w:rFonts w:ascii="Times New Roman" w:hAnsi="Times New Roman" w:cs="Times New Roman"/>
              </w:rPr>
              <w:tab/>
              <w:t>Točkom 33 Dokum</w:t>
            </w:r>
            <w:r w:rsidR="00BA2E16">
              <w:rPr>
                <w:rFonts w:ascii="Times New Roman" w:hAnsi="Times New Roman" w:cs="Times New Roman"/>
              </w:rPr>
              <w:t>en</w:t>
            </w:r>
            <w:r w:rsidRPr="0013732E">
              <w:rPr>
                <w:rFonts w:ascii="Times New Roman" w:hAnsi="Times New Roman" w:cs="Times New Roman"/>
              </w:rPr>
              <w:t xml:space="preserve">tacije nije definirano na koji način se dokazuje jednakovrijednost u slučaju kada Ponuditelj umjesto kataloškog broja proizvođača navedenog u troškovniku (u pravilu radi se o originalnom MAN kataloškom broju) želi ponuditi originalni rezervni dio drugog proizvođača vozila (npr. umjesto traženog originalnog MAN rezervnog dijela ponuditelj želi ponuditi originalni Mercedes </w:t>
            </w:r>
            <w:proofErr w:type="spellStart"/>
            <w:r w:rsidRPr="0013732E">
              <w:rPr>
                <w:rFonts w:ascii="Times New Roman" w:hAnsi="Times New Roman" w:cs="Times New Roman"/>
              </w:rPr>
              <w:t>Benz</w:t>
            </w:r>
            <w:proofErr w:type="spellEnd"/>
            <w:r w:rsidRPr="0013732E">
              <w:rPr>
                <w:rFonts w:ascii="Times New Roman" w:hAnsi="Times New Roman" w:cs="Times New Roman"/>
              </w:rPr>
              <w:t xml:space="preserve"> rezervni dio), budući da proizvođači vozila ne podliježu ISO TS 16949 certi</w:t>
            </w:r>
            <w:r w:rsidR="00BA2E16">
              <w:rPr>
                <w:rFonts w:ascii="Times New Roman" w:hAnsi="Times New Roman" w:cs="Times New Roman"/>
              </w:rPr>
              <w:t>fikaciji a niti je dostupna teh</w:t>
            </w:r>
            <w:bookmarkStart w:id="1" w:name="_GoBack"/>
            <w:bookmarkEnd w:id="1"/>
            <w:r w:rsidRPr="0013732E">
              <w:rPr>
                <w:rFonts w:ascii="Times New Roman" w:hAnsi="Times New Roman" w:cs="Times New Roman"/>
              </w:rPr>
              <w:t>nička dokumentacija takovog rezervnog dijela.</w:t>
            </w:r>
          </w:p>
        </w:tc>
        <w:tc>
          <w:tcPr>
            <w:tcW w:w="4077" w:type="dxa"/>
            <w:vMerge w:val="restart"/>
            <w:noWrap/>
          </w:tcPr>
          <w:p w14:paraId="771EAF63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F3B66EB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4E82C3F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9F655DC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A48C51F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785E0A8" w14:textId="77777777" w:rsidR="00EA03A0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za dostavu ponuda definirat će se u dokumentaciji koja će se objaviti u elektroničkom oglasniku javne nabave kod obavijesti o nadmetanju.</w:t>
            </w:r>
          </w:p>
          <w:p w14:paraId="4B090E90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B1AC6B0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D451E42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FA6BF64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592C09C" w14:textId="44BEF4D4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Nacrt dokumentacije o nadmetanju naknadno izmijenjen 23.06.</w:t>
            </w:r>
            <w:r w:rsidR="00DF4449">
              <w:rPr>
                <w:rFonts w:ascii="Times New Roman" w:hAnsi="Times New Roman" w:cs="Times New Roman"/>
              </w:rPr>
              <w:t>2017.</w:t>
            </w:r>
          </w:p>
          <w:p w14:paraId="79F3FCC1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0348162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9545D74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491DE3E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B07C5B7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438EB79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6AE73AC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2D986AEC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B4AA69E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9E6CECC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69821F3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55B702C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FEB1C6D" w14:textId="77777777" w:rsidR="00B003D5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CC33630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802D317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F68D260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35B8F7B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A9C3D05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6DDD2C4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76EB7CE5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3235946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3E24A47A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EC6B231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7AEBB6C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558EBDD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F5D37A8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062CEE9E" w14:textId="77777777" w:rsidR="00DF4449" w:rsidRDefault="00DF4449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1085026F" w14:textId="59AE76A2" w:rsidR="00B003D5" w:rsidRPr="00171039" w:rsidRDefault="00B003D5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Nacrt dokumentacije o nadmetanju naknadno izmijenjen 23.06.</w:t>
            </w:r>
          </w:p>
        </w:tc>
      </w:tr>
      <w:tr w:rsidR="00CB72C6" w:rsidRPr="00171039" w14:paraId="60DFDDEA" w14:textId="77777777" w:rsidTr="00A864F3">
        <w:trPr>
          <w:trHeight w:val="253"/>
        </w:trPr>
        <w:tc>
          <w:tcPr>
            <w:tcW w:w="705" w:type="dxa"/>
            <w:vMerge/>
            <w:hideMark/>
          </w:tcPr>
          <w:p w14:paraId="7BA9F6FD" w14:textId="4608649F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13732E" w:rsidRPr="00171039" w14:paraId="53753630" w14:textId="77777777" w:rsidTr="00A864F3">
        <w:trPr>
          <w:trHeight w:val="253"/>
        </w:trPr>
        <w:tc>
          <w:tcPr>
            <w:tcW w:w="705" w:type="dxa"/>
          </w:tcPr>
          <w:p w14:paraId="0074B6F7" w14:textId="52ACB27E" w:rsidR="0013732E" w:rsidRPr="00171039" w:rsidRDefault="0013732E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04" w:type="dxa"/>
            <w:gridSpan w:val="2"/>
          </w:tcPr>
          <w:p w14:paraId="6ED2A8A0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Pitanja i prijedlozi vezani za dokumentaciju o nabavi i troškovnike:</w:t>
            </w:r>
          </w:p>
          <w:p w14:paraId="229C0687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56B31B05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 xml:space="preserve"> </w:t>
            </w:r>
          </w:p>
          <w:p w14:paraId="30206E93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673EDC7C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1.       Vaša procijenjena vrijednost nabave je 18 milijuna kuna za sve grupe, no pregledom broja stavaka i njihovih količina procjenjujemo da će ponude biti daleko iznad Vaše procijenjene vrijednosti jer su troškovi nabave za ovaj broj stavaka i njihove pripadajuće količine u svim grupama daleko iznad iznosa procijenjene vrijednosti koju ste naveli.</w:t>
            </w:r>
          </w:p>
          <w:p w14:paraId="719D6E24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3F9746E6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Sukladno zakonu o javnoj nabavi, članak 298, stavak 9, javni naručitelj je obvezan ponudu  koja je iznad procijenjene vrijednosti odbiti ili osigurati sredstva kako bi proveo natječaj do kraja.</w:t>
            </w:r>
          </w:p>
          <w:p w14:paraId="2987CE15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59F9BE04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S druge strane ukoliko stavite količinu 1 kom na sve stavke troškovnika u svim grupama, procjenjujemo da tada navedeni problem ne bi trebao postojati. Molimo da razmotrite prijedlog.</w:t>
            </w:r>
          </w:p>
          <w:p w14:paraId="5CFB76BE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36074851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2.       Nastavno na prijedlog pod rednim brojem 1 &gt; Nigdje se u dokumentaciji o nabavi ne spominje da li je količina predmeta nabave okvirna ili da će ovisiti o potrebama naručitelja ili da će naručitelj tražiti isporuku svih pozicija iz troškovnika u količinama koje je naveo. Molimo objašnjenje.</w:t>
            </w:r>
          </w:p>
          <w:p w14:paraId="506E177A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2A878B2C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3.       U prilogu se nalazi tablica 1 u kojoj su prikazane sve stavke koje se ponavljaju u cijelom troškovniku (svih 8 grupa). Molimo da uvažite prijedlog i izbrišete stavke koje se ponavljaju.</w:t>
            </w:r>
          </w:p>
          <w:p w14:paraId="2CF2E762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7DA3709E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 xml:space="preserve">4.       U prilogu u tablici 2 su navedene stavke </w:t>
            </w:r>
            <w:r w:rsidRPr="0013732E">
              <w:rPr>
                <w:rFonts w:ascii="Times New Roman" w:hAnsi="Times New Roman" w:cs="Times New Roman"/>
              </w:rPr>
              <w:lastRenderedPageBreak/>
              <w:t>za koje nisu stavljene količine u troškovnik, pa Vas molimo da unesete odgovarajuće količine.</w:t>
            </w:r>
          </w:p>
          <w:p w14:paraId="02244B53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456A4E3F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5.       U prilogu u tablici 3 se nalazi popis stavaka koji imaju nepoznat kataloški broj, više se ne isporučuju ili se kataloški broj promijenio u novi kataloški broj. Molimo Vas da provjerite navedeno i ispravite odnosno nadopunite troškovnik.</w:t>
            </w:r>
          </w:p>
          <w:p w14:paraId="1A48AF57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717B6F06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6.      U točki 8.3 dokumentacije o nabavi naveli ste: Naručitelj zadržava pravo zahtijevati od odabranog ponuditelja vremensko produljenje roka trajanja ugovora u slučaju da financijska sredstva na ugovoru nisu do vremenskog isteka ugovora u potpunosti realizirana.</w:t>
            </w:r>
          </w:p>
          <w:p w14:paraId="275F31E4" w14:textId="77777777" w:rsidR="0013732E" w:rsidRPr="0013732E" w:rsidRDefault="0013732E" w:rsidP="0013732E">
            <w:pPr>
              <w:rPr>
                <w:rFonts w:ascii="Times New Roman" w:hAnsi="Times New Roman" w:cs="Times New Roman"/>
              </w:rPr>
            </w:pPr>
          </w:p>
          <w:p w14:paraId="189BDA15" w14:textId="0A09C349" w:rsidR="0013732E" w:rsidRPr="00171039" w:rsidRDefault="0013732E" w:rsidP="0013732E">
            <w:pPr>
              <w:rPr>
                <w:rFonts w:ascii="Times New Roman" w:hAnsi="Times New Roman" w:cs="Times New Roman"/>
              </w:rPr>
            </w:pPr>
            <w:r w:rsidRPr="0013732E">
              <w:rPr>
                <w:rFonts w:ascii="Times New Roman" w:hAnsi="Times New Roman" w:cs="Times New Roman"/>
              </w:rPr>
              <w:t>Kako ste naveli u dokumentaciji da se ugovor planira sklopiti na 2 godine i da se cijene nepromjenjive za vrijeme trajanja ugovora, da li ovo što se napisali pod točkom 8.3 znači da teoretski ugovor može trajati i do 3 godine a da su cijene nepromjenjive cijelo vrijeme? Molimo objašnjenje.</w:t>
            </w:r>
          </w:p>
        </w:tc>
        <w:tc>
          <w:tcPr>
            <w:tcW w:w="4077" w:type="dxa"/>
          </w:tcPr>
          <w:p w14:paraId="150A1A6B" w14:textId="77777777" w:rsidR="0013732E" w:rsidRDefault="0013732E" w:rsidP="00EF3B04">
            <w:pPr>
              <w:rPr>
                <w:rFonts w:ascii="Times New Roman" w:hAnsi="Times New Roman" w:cs="Times New Roman"/>
              </w:rPr>
            </w:pPr>
          </w:p>
          <w:p w14:paraId="3FA42E1F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188A3E65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0A886816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2E0DBABB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16415102" w14:textId="18FA6A5B" w:rsidR="00B003D5" w:rsidRDefault="00B003D5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Naručitelj je </w:t>
            </w:r>
            <w:r w:rsidR="005C2BA2">
              <w:rPr>
                <w:rFonts w:ascii="Times New Roman" w:hAnsi="Times New Roman" w:cs="Times New Roman"/>
              </w:rPr>
              <w:t>odredio procijenjenu vrijednost sukladno svojim potrebama i zahtjevima. Procijenjena vrijednost ne ograničava ponuditelja u određivanju cijene svoje ponude, ali ukupna plaćanja bez poreza na dodanu vrijednost na temelju svih ugovora i ugovor-narudžbenica sklopljenih na temelju ovog Okvirnog sporazuma ne smiju prelaziti procijenjenu vrijednost grupe predmeta nabave.</w:t>
            </w:r>
          </w:p>
          <w:p w14:paraId="7D36BD52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3809DD43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6D7A3186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03CAC7E3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1562F9A7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11103943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36717EA8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3B14B92A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25105AB3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7F7441B7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2A0A0EA1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6E56F76F" w14:textId="546C4CB1" w:rsidR="00B003D5" w:rsidRDefault="00B003D5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Količine predmeta nabave u troškovnik su predviđene.</w:t>
            </w:r>
          </w:p>
          <w:p w14:paraId="59C6FF10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5ACD3AE0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0E588037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743B737A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27CA03B0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0BFC2DDD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6478303B" w14:textId="573C36E5" w:rsidR="00B003D5" w:rsidRDefault="00B003D5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Naručitelj će priložiti ispravak troškovnika na način da će brisati stavke koje se pon</w:t>
            </w:r>
            <w:r w:rsidR="00BD109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vljaju.</w:t>
            </w:r>
          </w:p>
          <w:p w14:paraId="71DF2311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43DD810D" w14:textId="77777777" w:rsidR="00BD1098" w:rsidRDefault="00BD1098" w:rsidP="00EF3B04">
            <w:pPr>
              <w:rPr>
                <w:rFonts w:ascii="Times New Roman" w:hAnsi="Times New Roman" w:cs="Times New Roman"/>
              </w:rPr>
            </w:pPr>
          </w:p>
          <w:p w14:paraId="23ACAE36" w14:textId="77777777" w:rsidR="00BD1098" w:rsidRDefault="00BD1098" w:rsidP="00EF3B04">
            <w:pPr>
              <w:rPr>
                <w:rFonts w:ascii="Times New Roman" w:hAnsi="Times New Roman" w:cs="Times New Roman"/>
              </w:rPr>
            </w:pPr>
          </w:p>
          <w:p w14:paraId="25839450" w14:textId="3B3077FC" w:rsidR="00BD1098" w:rsidRDefault="00BD1098" w:rsidP="00BD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Naručitelj će priložiti ispravak troškovnika </w:t>
            </w:r>
            <w:r>
              <w:rPr>
                <w:rFonts w:ascii="Times New Roman" w:hAnsi="Times New Roman" w:cs="Times New Roman"/>
              </w:rPr>
              <w:lastRenderedPageBreak/>
              <w:t>na način da će upisati količine gdje nedostaju.</w:t>
            </w:r>
          </w:p>
          <w:p w14:paraId="4D77D623" w14:textId="77777777" w:rsidR="00B003D5" w:rsidRDefault="00B003D5" w:rsidP="00EF3B04">
            <w:pPr>
              <w:rPr>
                <w:rFonts w:ascii="Times New Roman" w:hAnsi="Times New Roman" w:cs="Times New Roman"/>
              </w:rPr>
            </w:pPr>
          </w:p>
          <w:p w14:paraId="184B20E3" w14:textId="7F581547" w:rsidR="00BD1098" w:rsidRDefault="00BD1098" w:rsidP="00BD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Naručitelj će priložiti ispravak troškovnika na način da će izmijeniti kataloške brojeve.</w:t>
            </w:r>
          </w:p>
          <w:p w14:paraId="713536D5" w14:textId="77777777" w:rsidR="00BD1098" w:rsidRDefault="00BD1098" w:rsidP="00BD1098">
            <w:pPr>
              <w:rPr>
                <w:rFonts w:ascii="Times New Roman" w:hAnsi="Times New Roman" w:cs="Times New Roman"/>
              </w:rPr>
            </w:pPr>
          </w:p>
          <w:p w14:paraId="17DCCED5" w14:textId="77777777" w:rsidR="00BD1098" w:rsidRDefault="00BD1098" w:rsidP="00BD1098">
            <w:pPr>
              <w:rPr>
                <w:rFonts w:ascii="Times New Roman" w:hAnsi="Times New Roman" w:cs="Times New Roman"/>
              </w:rPr>
            </w:pPr>
          </w:p>
          <w:p w14:paraId="0CF77622" w14:textId="77777777" w:rsidR="00BD1098" w:rsidRDefault="00BD1098" w:rsidP="00BD1098">
            <w:pPr>
              <w:rPr>
                <w:rFonts w:ascii="Times New Roman" w:hAnsi="Times New Roman" w:cs="Times New Roman"/>
              </w:rPr>
            </w:pPr>
          </w:p>
          <w:p w14:paraId="0C7BA509" w14:textId="77777777" w:rsidR="00BD1098" w:rsidRDefault="00BD1098" w:rsidP="00BD1098">
            <w:pPr>
              <w:rPr>
                <w:rFonts w:ascii="Times New Roman" w:hAnsi="Times New Roman" w:cs="Times New Roman"/>
              </w:rPr>
            </w:pPr>
          </w:p>
          <w:p w14:paraId="7E7703F6" w14:textId="77777777" w:rsidR="00BD1098" w:rsidRDefault="00BD1098" w:rsidP="00BD1098">
            <w:pPr>
              <w:rPr>
                <w:rFonts w:ascii="Times New Roman" w:hAnsi="Times New Roman" w:cs="Times New Roman"/>
              </w:rPr>
            </w:pPr>
          </w:p>
          <w:p w14:paraId="36DFEF53" w14:textId="0E44DCAB" w:rsidR="00BD1098" w:rsidRDefault="00DF4449" w:rsidP="00BD1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Naručitelj će izmijeniti dokumentaciju o nabavi u točki 8.3 </w:t>
            </w:r>
          </w:p>
          <w:p w14:paraId="6EEB4907" w14:textId="77777777" w:rsidR="00BD1098" w:rsidRDefault="00BD1098" w:rsidP="00BD1098">
            <w:pPr>
              <w:rPr>
                <w:rFonts w:ascii="Times New Roman" w:hAnsi="Times New Roman" w:cs="Times New Roman"/>
              </w:rPr>
            </w:pPr>
          </w:p>
          <w:p w14:paraId="095EE385" w14:textId="77777777" w:rsidR="00BD1098" w:rsidRDefault="00BD1098" w:rsidP="00EF3B04">
            <w:pPr>
              <w:rPr>
                <w:rFonts w:ascii="Times New Roman" w:hAnsi="Times New Roman" w:cs="Times New Roman"/>
              </w:rPr>
            </w:pPr>
          </w:p>
          <w:p w14:paraId="2E0A1285" w14:textId="49066AF0" w:rsidR="00BD1098" w:rsidRPr="00171039" w:rsidRDefault="00BD1098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218574C1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105BC9"/>
    <w:rsid w:val="0013732E"/>
    <w:rsid w:val="00171039"/>
    <w:rsid w:val="001809D0"/>
    <w:rsid w:val="001B6D8C"/>
    <w:rsid w:val="001E5BC2"/>
    <w:rsid w:val="001F68D9"/>
    <w:rsid w:val="00212384"/>
    <w:rsid w:val="00253143"/>
    <w:rsid w:val="002D0EDC"/>
    <w:rsid w:val="00332648"/>
    <w:rsid w:val="0034058B"/>
    <w:rsid w:val="00370170"/>
    <w:rsid w:val="003A534C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C2BA2"/>
    <w:rsid w:val="005E331E"/>
    <w:rsid w:val="006B026B"/>
    <w:rsid w:val="0077467E"/>
    <w:rsid w:val="00884D64"/>
    <w:rsid w:val="009C2A0D"/>
    <w:rsid w:val="00A864F3"/>
    <w:rsid w:val="00A97147"/>
    <w:rsid w:val="00AA1821"/>
    <w:rsid w:val="00B003D5"/>
    <w:rsid w:val="00B875C8"/>
    <w:rsid w:val="00BA2E16"/>
    <w:rsid w:val="00BB019E"/>
    <w:rsid w:val="00BB5B97"/>
    <w:rsid w:val="00BD1098"/>
    <w:rsid w:val="00CB72C6"/>
    <w:rsid w:val="00CC2C4B"/>
    <w:rsid w:val="00CD079B"/>
    <w:rsid w:val="00CD58DB"/>
    <w:rsid w:val="00CD6B24"/>
    <w:rsid w:val="00DE6D5D"/>
    <w:rsid w:val="00DF4449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D24F-3DA5-4039-A218-63F429C8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2017-06-28T08:14:00Z</cp:lastPrinted>
  <dcterms:created xsi:type="dcterms:W3CDTF">2017-06-29T06:39:00Z</dcterms:created>
  <dcterms:modified xsi:type="dcterms:W3CDTF">2017-06-29T06:49:00Z</dcterms:modified>
</cp:coreProperties>
</file>